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520"/>
      </w:tblGrid>
      <w:tr w:rsidR="00E4426D" w:rsidTr="00E4426D">
        <w:tc>
          <w:tcPr>
            <w:tcW w:w="2802" w:type="dxa"/>
          </w:tcPr>
          <w:p w:rsidR="00E4426D" w:rsidRDefault="00E4426D">
            <w:r>
              <w:t>BỘ TƯ PHÁP</w:t>
            </w:r>
          </w:p>
          <w:p w:rsidR="00E4426D" w:rsidRPr="00E4426D" w:rsidRDefault="00E4426D">
            <w:pPr>
              <w:rPr>
                <w:b/>
              </w:rPr>
            </w:pPr>
            <w:r w:rsidRPr="00E4426D">
              <w:rPr>
                <w:b/>
              </w:rPr>
              <w:t>THANH TRA</w:t>
            </w:r>
          </w:p>
          <w:p w:rsidR="00E4426D" w:rsidRDefault="006F581C">
            <w:r>
              <w:rPr>
                <w:noProof/>
              </w:rPr>
              <mc:AlternateContent>
                <mc:Choice Requires="wps">
                  <w:drawing>
                    <wp:anchor distT="0" distB="0" distL="114300" distR="114300" simplePos="0" relativeHeight="251658240" behindDoc="0" locked="0" layoutInCell="1" allowOverlap="1">
                      <wp:simplePos x="0" y="0"/>
                      <wp:positionH relativeFrom="column">
                        <wp:posOffset>353060</wp:posOffset>
                      </wp:positionH>
                      <wp:positionV relativeFrom="paragraph">
                        <wp:posOffset>24130</wp:posOffset>
                      </wp:positionV>
                      <wp:extent cx="955675" cy="0"/>
                      <wp:effectExtent l="13970" t="10160" r="11430"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5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0A8CBA" id="_x0000_t32" coordsize="21600,21600" o:spt="32" o:oned="t" path="m,l21600,21600e" filled="f">
                      <v:path arrowok="t" fillok="f" o:connecttype="none"/>
                      <o:lock v:ext="edit" shapetype="t"/>
                    </v:shapetype>
                    <v:shape id="AutoShape 2" o:spid="_x0000_s1026" type="#_x0000_t32" style="position:absolute;margin-left:27.8pt;margin-top:1.9pt;width:7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"/>
                  </w:pict>
                </mc:Fallback>
              </mc:AlternateContent>
            </w:r>
          </w:p>
          <w:p w:rsidR="00E4426D" w:rsidRDefault="00E4426D"/>
        </w:tc>
        <w:tc>
          <w:tcPr>
            <w:tcW w:w="6520" w:type="dxa"/>
          </w:tcPr>
          <w:p w:rsidR="00E4426D" w:rsidRPr="00E4426D" w:rsidRDefault="00E4426D">
            <w:pPr>
              <w:rPr>
                <w:b/>
              </w:rPr>
            </w:pPr>
            <w:r w:rsidRPr="00E4426D">
              <w:rPr>
                <w:b/>
              </w:rPr>
              <w:t>CỘNG HOÀ XÃ HỘI CHỦ NGHĨA VIỆT NAM</w:t>
            </w:r>
          </w:p>
          <w:p w:rsidR="00E4426D" w:rsidRDefault="00E4426D">
            <w:pPr>
              <w:rPr>
                <w:b/>
              </w:rPr>
            </w:pPr>
            <w:r w:rsidRPr="00E4426D">
              <w:rPr>
                <w:b/>
              </w:rPr>
              <w:t>Độc lập – Tự do – Hạnh phúc</w:t>
            </w:r>
          </w:p>
          <w:p w:rsidR="00E4426D" w:rsidRPr="00E4426D" w:rsidRDefault="006F581C">
            <w:pP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839470</wp:posOffset>
                      </wp:positionH>
                      <wp:positionV relativeFrom="paragraph">
                        <wp:posOffset>24130</wp:posOffset>
                      </wp:positionV>
                      <wp:extent cx="2265045" cy="0"/>
                      <wp:effectExtent l="12700" t="10160" r="8255" b="88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504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AF1645" id="AutoShape 3" o:spid="_x0000_s1026" type="#_x0000_t32" style="position:absolute;margin-left:66.1pt;margin-top:1.9pt;width:178.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iPNAIAAHcEAAAOAAAAZHJzL2Uyb0RvYy54bWysVE2P2yAQvVfqf0DcE9tZJ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"/>
                  </w:pict>
                </mc:Fallback>
              </mc:AlternateContent>
            </w:r>
          </w:p>
          <w:p w:rsidR="00E4426D" w:rsidRPr="00E4426D" w:rsidRDefault="00E4426D" w:rsidP="00E4426D">
            <w:pPr>
              <w:rPr>
                <w:i/>
              </w:rPr>
            </w:pPr>
            <w:r>
              <w:rPr>
                <w:i/>
              </w:rPr>
              <w:t>Hà Nội, ngày 29 tháng 12 năm 2022</w:t>
            </w:r>
          </w:p>
        </w:tc>
      </w:tr>
    </w:tbl>
    <w:p w:rsidR="00C1746D" w:rsidRDefault="00C1746D"/>
    <w:p w:rsidR="00E4426D" w:rsidRDefault="00E4426D" w:rsidP="00206D83">
      <w:pPr>
        <w:spacing w:before="120" w:line="276" w:lineRule="auto"/>
        <w:ind w:firstLine="567"/>
        <w:jc w:val="both"/>
      </w:pPr>
      <w:r>
        <w:t>Được sự phân công của Lãnh đạo Bộ Tư pháp, tôi xin được báo cáo về kết quả thanh tra, kiểm tra, giải quyết khiếu nại, tố cáo đối với cán bộ công chức, viên chức của các đơn vị thuộc Bộ Tư pháp như sau:</w:t>
      </w:r>
    </w:p>
    <w:p w:rsidR="00E4426D" w:rsidRDefault="00E4426D" w:rsidP="00206D83">
      <w:pPr>
        <w:spacing w:before="120" w:line="276" w:lineRule="auto"/>
        <w:ind w:firstLine="567"/>
        <w:jc w:val="both"/>
        <w:rPr>
          <w:b/>
        </w:rPr>
      </w:pPr>
      <w:r>
        <w:rPr>
          <w:b/>
        </w:rPr>
        <w:t>I. VỀ TÌNH HÌNH ĐƠN THƯ</w:t>
      </w:r>
    </w:p>
    <w:p w:rsidR="00E4426D" w:rsidRDefault="00E4426D" w:rsidP="00206D83">
      <w:pPr>
        <w:spacing w:before="120" w:line="276" w:lineRule="auto"/>
        <w:ind w:firstLine="567"/>
        <w:jc w:val="both"/>
      </w:pPr>
      <w:r>
        <w:t>Trong năm 2022, Bộ Tư pháp nhận được 11 đơn khiếu nại, tố cáo đối với công chức, viên chức của các đơn vị thuộc Bộ Tư pháp. So với năm 2021 giảm 03 đơn.</w:t>
      </w:r>
    </w:p>
    <w:p w:rsidR="00E4426D" w:rsidRDefault="00E4426D" w:rsidP="00206D83">
      <w:pPr>
        <w:spacing w:before="120" w:line="276" w:lineRule="auto"/>
        <w:ind w:firstLine="567"/>
        <w:jc w:val="both"/>
      </w:pPr>
      <w:r>
        <w:t>Trong đó, được phân loại và giải quyết như sau: 03 đơn nặc danh, 06 đơn có danh và 02 đơn đề nghị cung cấp thông tin liên quan đến công chức.</w:t>
      </w:r>
    </w:p>
    <w:p w:rsidR="00E4426D" w:rsidRDefault="00E4426D" w:rsidP="00206D83">
      <w:pPr>
        <w:spacing w:before="120" w:line="276" w:lineRule="auto"/>
        <w:ind w:firstLine="567"/>
        <w:jc w:val="both"/>
      </w:pPr>
      <w:r>
        <w:t>Nội dung liên quan đến sinh đẻ có kế hoạch, sai phạm trong công tác tổ chức, kiện toàn cán bộ; hoạt động tác nghiệp, vi phạm pháp luật về hình sự, pháp luật về kinh tế, dân sự và đề nghị cung cấp thông tin liên quan đến công chức…</w:t>
      </w:r>
    </w:p>
    <w:p w:rsidR="00E4426D" w:rsidRDefault="00E4426D" w:rsidP="00206D83">
      <w:pPr>
        <w:spacing w:before="120" w:line="276" w:lineRule="auto"/>
        <w:ind w:firstLine="567"/>
        <w:jc w:val="both"/>
        <w:rPr>
          <w:b/>
        </w:rPr>
      </w:pPr>
      <w:r>
        <w:rPr>
          <w:b/>
        </w:rPr>
        <w:t>II. KẾT QUẢ GIẢI QUYẾT, XỬ LÝ</w:t>
      </w:r>
    </w:p>
    <w:p w:rsidR="00E4426D" w:rsidRDefault="00E4426D" w:rsidP="00206D83">
      <w:pPr>
        <w:spacing w:before="120" w:line="276" w:lineRule="auto"/>
        <w:ind w:firstLine="567"/>
        <w:jc w:val="both"/>
      </w:pPr>
      <w:r>
        <w:t>Trên cơ sở nội dung đơn thư, thẩm quyền giải quyết, theo đó các đơn thư được xử lý như sau:</w:t>
      </w:r>
    </w:p>
    <w:p w:rsidR="00E4426D" w:rsidRDefault="00E4426D" w:rsidP="00206D83">
      <w:pPr>
        <w:spacing w:before="120" w:line="276" w:lineRule="auto"/>
        <w:ind w:firstLine="567"/>
        <w:jc w:val="both"/>
      </w:pPr>
      <w:r>
        <w:t>01 đơn tố cáo liên quan đến đạo đức công chức, hiện Thanh tra Bộ đang phối hợp với UBKT đảng uỷ nghiên cứu báo cáo đề xuất Lãnh đạo Bộ hướng giải quyết theo quy định pháp luật.</w:t>
      </w:r>
    </w:p>
    <w:p w:rsidR="00654FDD" w:rsidRDefault="00E4426D" w:rsidP="00206D83">
      <w:pPr>
        <w:spacing w:before="120" w:line="276" w:lineRule="auto"/>
        <w:ind w:firstLine="567"/>
        <w:jc w:val="both"/>
      </w:pPr>
      <w:r>
        <w:t>01 đơn chuyển cơ quan có thẩm quyền xử lý do tố cáo</w:t>
      </w:r>
      <w:r w:rsidR="00654FDD">
        <w:t xml:space="preserve"> có hành vi vi phạm pháp luật về hình sự.</w:t>
      </w:r>
    </w:p>
    <w:p w:rsidR="00654FDD" w:rsidRDefault="00654FDD" w:rsidP="00206D83">
      <w:pPr>
        <w:spacing w:before="120" w:line="276" w:lineRule="auto"/>
        <w:ind w:firstLine="567"/>
        <w:jc w:val="both"/>
      </w:pPr>
      <w:r>
        <w:t>06 đơn thuộc thẩm quyền xử lý của các cơ quan, đơn vị thuộc Bộ, đã chuyển đến các đơn vị để giải quyết theo quy định.</w:t>
      </w:r>
    </w:p>
    <w:p w:rsidR="00654FDD" w:rsidRDefault="00654FDD" w:rsidP="00206D83">
      <w:pPr>
        <w:spacing w:before="120" w:line="276" w:lineRule="auto"/>
        <w:ind w:firstLine="567"/>
        <w:jc w:val="both"/>
      </w:pPr>
      <w:r>
        <w:t>01 đơn thuộc thẩm quyền của Đảng uỷ Khối các cơ quan TW, đã có báo cáo kết quả với Đảng uỷ Khối.</w:t>
      </w:r>
    </w:p>
    <w:p w:rsidR="00654FDD" w:rsidRDefault="00654FDD" w:rsidP="00206D83">
      <w:pPr>
        <w:spacing w:before="120" w:line="276" w:lineRule="auto"/>
        <w:ind w:firstLine="567"/>
        <w:jc w:val="both"/>
      </w:pPr>
      <w:r w:rsidRPr="00206D83">
        <w:rPr>
          <w:spacing w:val="-4"/>
        </w:rPr>
        <w:t>02 đơn đề nghị cung cấp thông tin liên quan đến công chức, đã được gửi các đơn</w:t>
      </w:r>
      <w:r>
        <w:t xml:space="preserve"> vị liên quan để nghiên cứu cung cấp thông tin theo quy định của pháp luật.</w:t>
      </w:r>
    </w:p>
    <w:p w:rsidR="00654FDD" w:rsidRDefault="00654FDD" w:rsidP="00206D83">
      <w:pPr>
        <w:spacing w:before="120" w:line="276" w:lineRule="auto"/>
        <w:ind w:firstLine="567"/>
        <w:jc w:val="both"/>
        <w:rPr>
          <w:b/>
        </w:rPr>
      </w:pPr>
      <w:r>
        <w:rPr>
          <w:b/>
        </w:rPr>
        <w:t>III. ĐÁNH GIÁ NGUYÊN NHÂN</w:t>
      </w:r>
      <w:bookmarkStart w:id="0" w:name="_GoBack"/>
      <w:bookmarkEnd w:id="0"/>
    </w:p>
    <w:p w:rsidR="00654FDD" w:rsidRDefault="00654FDD" w:rsidP="00206D83">
      <w:pPr>
        <w:spacing w:before="120" w:line="276" w:lineRule="auto"/>
        <w:ind w:firstLine="567"/>
        <w:jc w:val="both"/>
      </w:pPr>
      <w:r>
        <w:t>Phân tích các nội dung đơn cho thấy:</w:t>
      </w:r>
    </w:p>
    <w:p w:rsidR="00654FDD" w:rsidRDefault="00654FDD" w:rsidP="00206D83">
      <w:pPr>
        <w:spacing w:before="120" w:line="276" w:lineRule="auto"/>
        <w:ind w:firstLine="567"/>
        <w:jc w:val="both"/>
      </w:pPr>
      <w:r>
        <w:lastRenderedPageBreak/>
        <w:t>Các đơn thư chủ yếu phát sinh do nguyên nhân khác liên quan đến kinh tế, xã hội hoặc do không đầy đủ thông tin như: qua giải quyết không được theo ý muốn nên quay ra tố cáo hoặc xuất phát từ làm ăn kinh tế không như không thực hiện đúng hợp đồng thoả thuận từ trước hoặc có dấu hiệu mất khả năng thanh toán…</w:t>
      </w:r>
    </w:p>
    <w:p w:rsidR="00654FDD" w:rsidRPr="00206D83" w:rsidRDefault="00654FDD" w:rsidP="00206D83">
      <w:pPr>
        <w:spacing w:before="120" w:line="276" w:lineRule="auto"/>
        <w:ind w:firstLine="567"/>
        <w:jc w:val="both"/>
        <w:rPr>
          <w:spacing w:val="-6"/>
        </w:rPr>
      </w:pPr>
      <w:r w:rsidRPr="00206D83">
        <w:rPr>
          <w:spacing w:val="-6"/>
        </w:rPr>
        <w:t>Đến nay việc xử lý các đơn thư đều bảo đảm theo đúng quy định của pháp luật.</w:t>
      </w:r>
    </w:p>
    <w:p w:rsidR="00654FDD" w:rsidRDefault="00654FDD" w:rsidP="00206D83">
      <w:pPr>
        <w:spacing w:before="120" w:line="276" w:lineRule="auto"/>
        <w:ind w:firstLine="567"/>
        <w:jc w:val="both"/>
        <w:rPr>
          <w:b/>
        </w:rPr>
      </w:pPr>
      <w:r>
        <w:rPr>
          <w:b/>
        </w:rPr>
        <w:t>IV. KIẾN NGHỊ</w:t>
      </w:r>
    </w:p>
    <w:p w:rsidR="00654FDD" w:rsidRDefault="00654FDD" w:rsidP="00206D83">
      <w:pPr>
        <w:spacing w:before="120" w:line="276" w:lineRule="auto"/>
        <w:ind w:firstLine="567"/>
        <w:jc w:val="both"/>
      </w:pPr>
      <w:r>
        <w:t>Trên cơ sở giải quyết khiếu nại, tố cáo năm 2022, Thanh tra Bộ xin kiến nghị như sau:</w:t>
      </w:r>
    </w:p>
    <w:p w:rsidR="00654FDD" w:rsidRDefault="00654FDD" w:rsidP="00206D83">
      <w:pPr>
        <w:pStyle w:val="ListParagraph"/>
        <w:numPr>
          <w:ilvl w:val="0"/>
          <w:numId w:val="2"/>
        </w:numPr>
        <w:spacing w:before="120" w:line="276" w:lineRule="auto"/>
        <w:jc w:val="both"/>
      </w:pPr>
      <w:r>
        <w:t>Đối với cán bộ công chức, viên chức thuộc Bộ:</w:t>
      </w:r>
    </w:p>
    <w:p w:rsidR="00654FDD" w:rsidRPr="00206D83" w:rsidRDefault="00654FDD" w:rsidP="00206D83">
      <w:pPr>
        <w:spacing w:before="120" w:line="276" w:lineRule="auto"/>
        <w:ind w:firstLine="567"/>
        <w:jc w:val="both"/>
        <w:rPr>
          <w:spacing w:val="-4"/>
        </w:rPr>
      </w:pPr>
      <w:r w:rsidRPr="00206D83">
        <w:rPr>
          <w:spacing w:val="-4"/>
        </w:rPr>
        <w:t>- Phát huy tính độc lập, tự chủ, tự chịu trách nhiệm đối với các công việc liên quan đến kinh tế, xã hội và gia đình; cố gắng giải quyết các công việ với các bên, tránh để công dân gửi đơn thư khiếu nại, tố cáo hoặc nhờ cơ quan giải quyết.</w:t>
      </w:r>
    </w:p>
    <w:p w:rsidR="00654FDD" w:rsidRDefault="00654FDD" w:rsidP="00206D83">
      <w:pPr>
        <w:spacing w:before="120" w:line="276" w:lineRule="auto"/>
        <w:ind w:firstLine="567"/>
        <w:jc w:val="both"/>
      </w:pPr>
      <w:r>
        <w:t>- Không viết, phát tán đơn thư nặc danh, không có căn cứ pháp lý để tránh hiểu lầm không đáng có. Việc gửi đơn thư cần có căn cứ pháp lý, họ tên, địa chỉ, để dễ dàng xác minh, giải quyết theo quy định của pháp luật.</w:t>
      </w:r>
    </w:p>
    <w:p w:rsidR="006F581C" w:rsidRDefault="00654FDD" w:rsidP="00206D83">
      <w:pPr>
        <w:spacing w:before="120" w:line="276" w:lineRule="auto"/>
        <w:ind w:firstLine="567"/>
        <w:jc w:val="both"/>
      </w:pPr>
      <w:r>
        <w:t>2. Đối với Đảng bộ</w:t>
      </w:r>
      <w:r w:rsidR="006F581C">
        <w:t>, Chi bộ, Thủ trưởng các đơn vị thuộc Bộ</w:t>
      </w:r>
    </w:p>
    <w:p w:rsidR="006F581C" w:rsidRDefault="006F581C" w:rsidP="00206D83">
      <w:pPr>
        <w:spacing w:before="120" w:line="276" w:lineRule="auto"/>
        <w:ind w:firstLine="567"/>
        <w:jc w:val="both"/>
      </w:pPr>
      <w:r>
        <w:t>Trên cơ sở chỉ đạo của Ban Cán sự Đảng, Lãnh đạo Bộ, Đảng uỷ Bộ Tư pháp, có quán triệt đến các đảng viên, công chức, viên chức, người lao động của đơn vị mình không phát tán đơn thư nặc danh, không có cơ sở pháp lý làm giảm uy tín của Bộ cũng như của các đơn vị liên quan.</w:t>
      </w:r>
    </w:p>
    <w:p w:rsidR="006F581C" w:rsidRDefault="006F581C" w:rsidP="00206D83">
      <w:pPr>
        <w:spacing w:before="120" w:line="276" w:lineRule="auto"/>
        <w:ind w:firstLine="567"/>
        <w:jc w:val="both"/>
      </w:pPr>
      <w:r>
        <w:t>Tăng cường giáo dục chính trị, tư tưởng, đạo đức đối với công chức, viên chức, người lao động thuộc thẩm quyền quản lý, cũng như quan tâm đời sống, kinh tế, thu nhập ổn định cho công chức, viên chức, người lao động của đơn vị trong phạm vi có thể.</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3"/>
        <w:gridCol w:w="4398"/>
      </w:tblGrid>
      <w:tr w:rsidR="006F581C" w:rsidTr="006F581C">
        <w:tc>
          <w:tcPr>
            <w:tcW w:w="4644" w:type="dxa"/>
          </w:tcPr>
          <w:p w:rsidR="006F581C" w:rsidRDefault="006F581C" w:rsidP="00206D83">
            <w:pPr>
              <w:spacing w:before="120" w:line="276" w:lineRule="auto"/>
              <w:jc w:val="right"/>
            </w:pPr>
          </w:p>
        </w:tc>
        <w:tc>
          <w:tcPr>
            <w:tcW w:w="4644" w:type="dxa"/>
          </w:tcPr>
          <w:p w:rsidR="006F581C" w:rsidRPr="006F581C" w:rsidRDefault="006F581C" w:rsidP="00206D83">
            <w:pPr>
              <w:spacing w:before="120" w:line="276" w:lineRule="auto"/>
              <w:rPr>
                <w:b/>
              </w:rPr>
            </w:pPr>
            <w:r w:rsidRPr="006F581C">
              <w:rPr>
                <w:b/>
              </w:rPr>
              <w:t>THANH TRA BỘ</w:t>
            </w:r>
          </w:p>
        </w:tc>
      </w:tr>
    </w:tbl>
    <w:p w:rsidR="00E4426D" w:rsidRPr="00E4426D" w:rsidRDefault="00654FDD" w:rsidP="006F581C">
      <w:pPr>
        <w:ind w:left="567"/>
        <w:jc w:val="right"/>
      </w:pPr>
      <w:r>
        <w:t xml:space="preserve"> </w:t>
      </w:r>
      <w:r w:rsidR="00E4426D">
        <w:t xml:space="preserve"> </w:t>
      </w:r>
    </w:p>
    <w:sectPr w:rsidR="00E4426D" w:rsidRPr="00E4426D" w:rsidSect="00611DC4">
      <w:pgSz w:w="11907" w:h="16839" w:code="9"/>
      <w:pgMar w:top="1134" w:right="1134"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4F4ADC"/>
    <w:multiLevelType w:val="hybridMultilevel"/>
    <w:tmpl w:val="B0123896"/>
    <w:lvl w:ilvl="0" w:tplc="1D360A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7C936A20"/>
    <w:multiLevelType w:val="hybridMultilevel"/>
    <w:tmpl w:val="1198654E"/>
    <w:lvl w:ilvl="0" w:tplc="80547A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26D"/>
    <w:rsid w:val="00206D83"/>
    <w:rsid w:val="00611DC4"/>
    <w:rsid w:val="00654FDD"/>
    <w:rsid w:val="006F581C"/>
    <w:rsid w:val="00707D56"/>
    <w:rsid w:val="009A5A58"/>
    <w:rsid w:val="00C1746D"/>
    <w:rsid w:val="00E4426D"/>
    <w:rsid w:val="00F71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601F28-4FA1-489F-8AFF-3448ADDB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4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77143C-D1BA-4ED8-B0B3-7853137B42B4}"/>
</file>

<file path=customXml/itemProps2.xml><?xml version="1.0" encoding="utf-8"?>
<ds:datastoreItem xmlns:ds="http://schemas.openxmlformats.org/officeDocument/2006/customXml" ds:itemID="{449873CB-65E7-46DE-9766-1BEB386E1ECF}"/>
</file>

<file path=customXml/itemProps3.xml><?xml version="1.0" encoding="utf-8"?>
<ds:datastoreItem xmlns:ds="http://schemas.openxmlformats.org/officeDocument/2006/customXml" ds:itemID="{4CA12A96-0FFF-40C8-AA47-B1C7080E8384}"/>
</file>

<file path=docProps/app.xml><?xml version="1.0" encoding="utf-8"?>
<Properties xmlns="http://schemas.openxmlformats.org/officeDocument/2006/extended-properties" xmlns:vt="http://schemas.openxmlformats.org/officeDocument/2006/docPropsVTypes">
  <Template>Normal</Template>
  <TotalTime>27</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2022-12-29T09:52:00Z</dcterms:created>
  <dcterms:modified xsi:type="dcterms:W3CDTF">2023-01-05T01:34:00Z</dcterms:modified>
</cp:coreProperties>
</file>